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E0ECF6" w14:textId="5FF393DD" w:rsidR="002B629B" w:rsidRPr="00456775" w:rsidRDefault="001D6F65" w:rsidP="002B629B">
      <w:pPr>
        <w:jc w:val="center"/>
        <w:rPr>
          <w:rFonts w:ascii="Cooper Black" w:hAnsi="Cooper Black"/>
          <w:b/>
          <w:i/>
          <w:sz w:val="96"/>
          <w:u w:val="single"/>
        </w:rPr>
      </w:pPr>
      <w:r>
        <w:rPr>
          <w:rFonts w:ascii="Cooper Black" w:hAnsi="Cooper Black"/>
          <w:b/>
          <w:i/>
          <w:sz w:val="96"/>
          <w:u w:val="single"/>
        </w:rPr>
        <w:t>Stonehenge</w:t>
      </w:r>
      <w:r w:rsidR="003C5485" w:rsidRPr="00456775">
        <w:rPr>
          <w:rFonts w:ascii="Cooper Black" w:hAnsi="Cooper Black"/>
          <w:b/>
          <w:i/>
          <w:sz w:val="96"/>
          <w:u w:val="single"/>
        </w:rPr>
        <w:t>…</w:t>
      </w:r>
    </w:p>
    <w:p w14:paraId="15EF84F8" w14:textId="34119EBC" w:rsidR="002B629B" w:rsidRPr="00456775" w:rsidRDefault="00476252" w:rsidP="00476252">
      <w:pPr>
        <w:tabs>
          <w:tab w:val="left" w:pos="6602"/>
          <w:tab w:val="center" w:pos="11340"/>
        </w:tabs>
        <w:rPr>
          <w:rFonts w:ascii="Cooper Black" w:hAnsi="Cooper Black"/>
          <w:sz w:val="36"/>
        </w:rPr>
      </w:pPr>
      <w:r w:rsidRPr="00456775">
        <w:rPr>
          <w:rFonts w:ascii="Cooper Black" w:hAnsi="Cooper Black"/>
          <w:sz w:val="36"/>
        </w:rPr>
        <w:tab/>
      </w:r>
      <w:r w:rsidRPr="00456775">
        <w:rPr>
          <w:rFonts w:ascii="Cooper Black" w:hAnsi="Cooper Black"/>
          <w:sz w:val="36"/>
        </w:rPr>
        <w:tab/>
      </w:r>
      <w:r w:rsidR="002B629B" w:rsidRPr="00456775">
        <w:rPr>
          <w:rFonts w:ascii="Cooper Black" w:hAnsi="Cooper Black"/>
          <w:sz w:val="36"/>
        </w:rPr>
        <w:t>(</w:t>
      </w:r>
      <w:r w:rsidR="001D6F65">
        <w:rPr>
          <w:rFonts w:ascii="Cooper Black" w:hAnsi="Cooper Black"/>
          <w:sz w:val="36"/>
        </w:rPr>
        <w:t>Angleterre</w:t>
      </w:r>
      <w:r w:rsidR="001B4DBA" w:rsidRPr="00456775">
        <w:rPr>
          <w:rFonts w:ascii="Cooper Black" w:hAnsi="Cooper Black"/>
          <w:sz w:val="36"/>
        </w:rPr>
        <w:t xml:space="preserve">, </w:t>
      </w:r>
      <w:r w:rsidR="001D6F65">
        <w:rPr>
          <w:rFonts w:ascii="Cooper Black" w:hAnsi="Cooper Black"/>
          <w:sz w:val="36"/>
        </w:rPr>
        <w:t>Europe</w:t>
      </w:r>
      <w:r w:rsidR="002B629B" w:rsidRPr="00456775">
        <w:rPr>
          <w:rFonts w:ascii="Cooper Black" w:hAnsi="Cooper Black"/>
          <w:sz w:val="36"/>
        </w:rPr>
        <w:t>)</w:t>
      </w:r>
    </w:p>
    <w:p w14:paraId="5E873C7F" w14:textId="2FC09085" w:rsidR="00FC7D2E" w:rsidRPr="00FC7D2E" w:rsidRDefault="000775B9" w:rsidP="002B629B">
      <w:pPr>
        <w:jc w:val="center"/>
        <w:rPr>
          <w:sz w:val="28"/>
          <w:szCs w:val="28"/>
        </w:rPr>
        <w:sectPr w:rsidR="00FC7D2E" w:rsidRPr="00FC7D2E" w:rsidSect="007A522C">
          <w:footerReference w:type="default" r:id="rId8"/>
          <w:pgSz w:w="23814" w:h="16840" w:orient="landscape"/>
          <w:pgMar w:top="567" w:right="567" w:bottom="567" w:left="567" w:header="709" w:footer="283" w:gutter="0"/>
          <w:cols w:space="708"/>
          <w:docGrid w:linePitch="360"/>
        </w:sect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09751C95" wp14:editId="2DDABF23">
            <wp:extent cx="12925812" cy="8563350"/>
            <wp:effectExtent l="0" t="0" r="0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jmahal-s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5812" cy="856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963">
        <w:rPr>
          <w:sz w:val="28"/>
          <w:szCs w:val="28"/>
        </w:rPr>
        <w:t xml:space="preserve"> </w:t>
      </w:r>
    </w:p>
    <w:p w14:paraId="0DC97B4E" w14:textId="57436FA4" w:rsidR="00E858A9" w:rsidRDefault="00E858A9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b/>
          <w:sz w:val="72"/>
          <w:szCs w:val="72"/>
          <w:u w:val="single"/>
        </w:rPr>
      </w:pPr>
      <w:r w:rsidRPr="00476252">
        <w:rPr>
          <w:rFonts w:ascii="Cooper Black" w:hAnsi="Cooper Black"/>
          <w:b/>
          <w:sz w:val="72"/>
          <w:szCs w:val="72"/>
          <w:u w:val="single"/>
        </w:rPr>
        <w:lastRenderedPageBreak/>
        <w:t xml:space="preserve">Informations et </w:t>
      </w:r>
      <w:r w:rsidR="00CB6814">
        <w:rPr>
          <w:rFonts w:ascii="Cooper Black" w:hAnsi="Cooper Black"/>
          <w:b/>
          <w:sz w:val="72"/>
          <w:szCs w:val="72"/>
          <w:u w:val="single"/>
        </w:rPr>
        <w:t>Histoire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5"/>
        <w:gridCol w:w="16805"/>
      </w:tblGrid>
      <w:tr w:rsidR="00A00981" w14:paraId="22DE93C7" w14:textId="77777777" w:rsidTr="009649DF">
        <w:tc>
          <w:tcPr>
            <w:tcW w:w="22670" w:type="dxa"/>
            <w:gridSpan w:val="2"/>
          </w:tcPr>
          <w:p w14:paraId="7A6CA90F" w14:textId="77777777" w:rsidR="00A00981" w:rsidRDefault="00A00981" w:rsidP="00A73D35">
            <w:pPr>
              <w:jc w:val="center"/>
              <w:rPr>
                <w:sz w:val="72"/>
                <w:szCs w:val="72"/>
              </w:rPr>
            </w:pPr>
          </w:p>
          <w:p w14:paraId="359EA9A3" w14:textId="77777777" w:rsidR="00A00981" w:rsidRDefault="00A00981" w:rsidP="00A73D35">
            <w:pPr>
              <w:tabs>
                <w:tab w:val="left" w:pos="1216"/>
                <w:tab w:val="center" w:pos="7853"/>
              </w:tabs>
              <w:jc w:val="center"/>
              <w:rPr>
                <w:rFonts w:ascii="Cooper Black" w:hAnsi="Cooper Black"/>
                <w:b/>
                <w:sz w:val="72"/>
                <w:szCs w:val="72"/>
                <w:u w:val="single"/>
              </w:rPr>
            </w:pPr>
            <w:r>
              <w:rPr>
                <w:i/>
                <w:sz w:val="36"/>
                <w:szCs w:val="72"/>
                <w:u w:val="single"/>
              </w:rPr>
              <w:t xml:space="preserve">Vue panoramique du site de </w:t>
            </w:r>
            <w:proofErr w:type="spellStart"/>
            <w:r>
              <w:rPr>
                <w:i/>
                <w:sz w:val="36"/>
                <w:szCs w:val="72"/>
                <w:u w:val="single"/>
              </w:rPr>
              <w:t>Machu</w:t>
            </w:r>
            <w:proofErr w:type="spellEnd"/>
            <w:r>
              <w:rPr>
                <w:i/>
                <w:sz w:val="36"/>
                <w:szCs w:val="72"/>
                <w:u w:val="single"/>
              </w:rPr>
              <w:t xml:space="preserve"> </w:t>
            </w:r>
            <w:proofErr w:type="spellStart"/>
            <w:r>
              <w:rPr>
                <w:i/>
                <w:sz w:val="36"/>
                <w:szCs w:val="72"/>
                <w:u w:val="single"/>
              </w:rPr>
              <w:t>Picchu</w:t>
            </w:r>
            <w:proofErr w:type="spellEnd"/>
            <w:r>
              <w:rPr>
                <w:i/>
                <w:sz w:val="36"/>
                <w:szCs w:val="72"/>
                <w:u w:val="single"/>
              </w:rPr>
              <w:t>.</w:t>
            </w:r>
          </w:p>
        </w:tc>
      </w:tr>
      <w:tr w:rsidR="00A00981" w:rsidRPr="00FD54A6" w14:paraId="2F03F54B" w14:textId="77777777" w:rsidTr="009649DF">
        <w:trPr>
          <w:trHeight w:val="3293"/>
        </w:trPr>
        <w:tc>
          <w:tcPr>
            <w:tcW w:w="22670" w:type="dxa"/>
            <w:gridSpan w:val="2"/>
          </w:tcPr>
          <w:p w14:paraId="4FD810A9" w14:textId="6F03137F" w:rsidR="00A00981" w:rsidRPr="001B2BBE" w:rsidRDefault="00A00981" w:rsidP="00450FB2">
            <w:pPr>
              <w:tabs>
                <w:tab w:val="left" w:pos="1216"/>
                <w:tab w:val="center" w:pos="7853"/>
              </w:tabs>
              <w:ind w:firstLine="880"/>
              <w:jc w:val="both"/>
              <w:rPr>
                <w:sz w:val="72"/>
                <w:szCs w:val="72"/>
              </w:rPr>
            </w:pPr>
            <w:r w:rsidRPr="001B2BBE">
              <w:rPr>
                <w:sz w:val="72"/>
                <w:szCs w:val="72"/>
              </w:rPr>
              <w:t>Le site de Stonehenge est un monument de pierre (</w:t>
            </w:r>
            <w:r w:rsidRPr="00450FB2">
              <w:rPr>
                <w:sz w:val="72"/>
                <w:szCs w:val="72"/>
                <w:highlight w:val="yellow"/>
              </w:rPr>
              <w:t>mégalithique</w:t>
            </w:r>
            <w:r w:rsidRPr="001B2BBE">
              <w:rPr>
                <w:sz w:val="72"/>
                <w:szCs w:val="72"/>
              </w:rPr>
              <w:t xml:space="preserve">) composé de plusieurs parties </w:t>
            </w:r>
            <w:r w:rsidRPr="00450FB2">
              <w:rPr>
                <w:sz w:val="72"/>
                <w:szCs w:val="72"/>
                <w:highlight w:val="yellow"/>
              </w:rPr>
              <w:t>en forme de cercle</w:t>
            </w:r>
            <w:r w:rsidR="00450FB2" w:rsidRPr="00450FB2">
              <w:rPr>
                <w:sz w:val="72"/>
                <w:szCs w:val="72"/>
                <w:highlight w:val="yellow"/>
              </w:rPr>
              <w:t>s</w:t>
            </w:r>
            <w:r w:rsidRPr="001B2BBE">
              <w:rPr>
                <w:sz w:val="72"/>
                <w:szCs w:val="72"/>
              </w:rPr>
              <w:t xml:space="preserve"> les uns dans les autres. Il aurait </w:t>
            </w:r>
            <w:r w:rsidR="00450FB2">
              <w:rPr>
                <w:sz w:val="72"/>
                <w:szCs w:val="72"/>
              </w:rPr>
              <w:t xml:space="preserve">été </w:t>
            </w:r>
            <w:r w:rsidRPr="00450FB2">
              <w:rPr>
                <w:sz w:val="72"/>
                <w:szCs w:val="72"/>
                <w:highlight w:val="yellow"/>
              </w:rPr>
              <w:t xml:space="preserve">construit entre </w:t>
            </w:r>
            <w:r w:rsidR="00450FB2" w:rsidRPr="00450FB2">
              <w:rPr>
                <w:sz w:val="72"/>
                <w:szCs w:val="72"/>
                <w:highlight w:val="yellow"/>
              </w:rPr>
              <w:t>-</w:t>
            </w:r>
            <w:r w:rsidRPr="00450FB2">
              <w:rPr>
                <w:sz w:val="72"/>
                <w:szCs w:val="72"/>
                <w:highlight w:val="yellow"/>
              </w:rPr>
              <w:t xml:space="preserve">2800 et </w:t>
            </w:r>
            <w:r w:rsidR="00450FB2" w:rsidRPr="00450FB2">
              <w:rPr>
                <w:sz w:val="72"/>
                <w:szCs w:val="72"/>
                <w:highlight w:val="yellow"/>
              </w:rPr>
              <w:t>-</w:t>
            </w:r>
            <w:r w:rsidRPr="00450FB2">
              <w:rPr>
                <w:sz w:val="72"/>
                <w:szCs w:val="72"/>
                <w:highlight w:val="yellow"/>
              </w:rPr>
              <w:t>1100</w:t>
            </w:r>
            <w:r w:rsidRPr="001B2BBE">
              <w:rPr>
                <w:sz w:val="72"/>
                <w:szCs w:val="72"/>
              </w:rPr>
              <w:t xml:space="preserve">. Cela correspond aux périodes du néolithique et de l’âge de bronze.  Il est situé à 13km de Salisbury, dans le comté de Wiltshire. </w:t>
            </w:r>
          </w:p>
        </w:tc>
      </w:tr>
      <w:tr w:rsidR="000322EC" w:rsidRPr="00FD54A6" w14:paraId="09F2D848" w14:textId="77777777" w:rsidTr="009649DF">
        <w:trPr>
          <w:trHeight w:val="1543"/>
        </w:trPr>
        <w:tc>
          <w:tcPr>
            <w:tcW w:w="5872" w:type="dxa"/>
            <w:vAlign w:val="center"/>
          </w:tcPr>
          <w:p w14:paraId="45E6062D" w14:textId="34DDE937" w:rsidR="00A00981" w:rsidRPr="00077156" w:rsidRDefault="00077156" w:rsidP="00A73D35">
            <w:pPr>
              <w:tabs>
                <w:tab w:val="left" w:pos="1216"/>
                <w:tab w:val="center" w:pos="7853"/>
              </w:tabs>
              <w:ind w:firstLine="880"/>
              <w:jc w:val="both"/>
              <w:rPr>
                <w:sz w:val="72"/>
                <w:szCs w:val="72"/>
              </w:rPr>
            </w:pPr>
            <w:r w:rsidRPr="00077156">
              <w:rPr>
                <w:sz w:val="72"/>
                <w:szCs w:val="72"/>
              </w:rPr>
              <w:t xml:space="preserve">Le site de Stonehenge a été étudié en détails, à partir de 1901. De nombreuses fouilles ont eu lieu et on a maintenant, une idée de ce qui a pu être l’histoire de ces vestiges. </w:t>
            </w:r>
          </w:p>
        </w:tc>
        <w:tc>
          <w:tcPr>
            <w:tcW w:w="16798" w:type="dxa"/>
          </w:tcPr>
          <w:p w14:paraId="2487D493" w14:textId="53DCB3F0" w:rsidR="00A00981" w:rsidRPr="00164F5F" w:rsidRDefault="00077156" w:rsidP="00205718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fr-FR"/>
              </w:rPr>
              <w:drawing>
                <wp:inline distT="0" distB="0" distL="0" distR="0" wp14:anchorId="06F1C5F6" wp14:editId="418FDCCD">
                  <wp:extent cx="8352000" cy="5370949"/>
                  <wp:effectExtent l="0" t="0" r="0" b="127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onehenge1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2000" cy="5370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0981">
              <w:rPr>
                <w:sz w:val="36"/>
                <w:szCs w:val="36"/>
              </w:rPr>
              <w:br/>
            </w:r>
            <w:r w:rsidR="00713BDA" w:rsidRPr="00713BDA">
              <w:rPr>
                <w:i/>
                <w:sz w:val="36"/>
                <w:szCs w:val="36"/>
                <w:u w:val="single"/>
              </w:rPr>
              <w:t>Photo de Stonehenge un jour d’orage avec éclair capturé.</w:t>
            </w:r>
            <w:r w:rsidR="00713BDA">
              <w:rPr>
                <w:sz w:val="36"/>
                <w:szCs w:val="36"/>
              </w:rPr>
              <w:t xml:space="preserve"> </w:t>
            </w:r>
          </w:p>
        </w:tc>
      </w:tr>
    </w:tbl>
    <w:p w14:paraId="57F80295" w14:textId="1CE8C929" w:rsidR="00A00981" w:rsidRPr="00101FCC" w:rsidRDefault="00A00981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b/>
          <w:sz w:val="4"/>
          <w:szCs w:val="4"/>
          <w:u w:val="single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9"/>
        <w:gridCol w:w="11461"/>
      </w:tblGrid>
      <w:tr w:rsidR="00761DFD" w:rsidRPr="000322EC" w14:paraId="544B36BC" w14:textId="77777777" w:rsidTr="007A522C">
        <w:tc>
          <w:tcPr>
            <w:tcW w:w="11219" w:type="dxa"/>
          </w:tcPr>
          <w:p w14:paraId="0D94E0CA" w14:textId="77777777" w:rsidR="00101FCC" w:rsidRDefault="00101FCC" w:rsidP="00101FC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On pense maintenant que ce site a été construit en plusieurs étapes. </w:t>
            </w:r>
          </w:p>
          <w:p w14:paraId="4715A0F5" w14:textId="77777777" w:rsidR="008169F2" w:rsidRDefault="008169F2" w:rsidP="00101FC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</w:p>
          <w:p w14:paraId="1075C3B9" w14:textId="0AA8B249" w:rsidR="00101FCC" w:rsidRPr="000322EC" w:rsidRDefault="00101FCC" w:rsidP="008169F2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On pense qu’il a été occupé dès 8000 avant JC. Il reste des traces de poteaux qui datent de cette époque !</w:t>
            </w:r>
          </w:p>
        </w:tc>
        <w:tc>
          <w:tcPr>
            <w:tcW w:w="11461" w:type="dxa"/>
          </w:tcPr>
          <w:p w14:paraId="7FFDBBF3" w14:textId="77777777" w:rsidR="00101FCC" w:rsidRDefault="00101FCC" w:rsidP="00A73D35">
            <w:pPr>
              <w:tabs>
                <w:tab w:val="left" w:pos="1216"/>
                <w:tab w:val="center" w:pos="7853"/>
              </w:tabs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fr-FR"/>
              </w:rPr>
              <w:drawing>
                <wp:inline distT="0" distB="0" distL="0" distR="0" wp14:anchorId="3C1B321B" wp14:editId="35C303CA">
                  <wp:extent cx="7164000" cy="4786014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Stonehenge_fall_2002.jpg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4000" cy="478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E24A5B" w14:textId="216F343B" w:rsidR="00101FCC" w:rsidRPr="00101FCC" w:rsidRDefault="00101FCC" w:rsidP="00A73D35">
            <w:pPr>
              <w:tabs>
                <w:tab w:val="left" w:pos="1216"/>
                <w:tab w:val="center" w:pos="7853"/>
              </w:tabs>
              <w:jc w:val="center"/>
              <w:rPr>
                <w:i/>
                <w:sz w:val="36"/>
                <w:szCs w:val="36"/>
                <w:u w:val="single"/>
              </w:rPr>
            </w:pPr>
            <w:r w:rsidRPr="00101FCC">
              <w:rPr>
                <w:i/>
                <w:sz w:val="36"/>
                <w:szCs w:val="36"/>
                <w:u w:val="single"/>
              </w:rPr>
              <w:t>Au premier plan : l’enceinte circulaire avec fossé et talus intérieur.</w:t>
            </w:r>
          </w:p>
        </w:tc>
      </w:tr>
      <w:tr w:rsidR="00101FCC" w:rsidRPr="000322EC" w14:paraId="0658B9CB" w14:textId="77777777" w:rsidTr="007A522C">
        <w:tc>
          <w:tcPr>
            <w:tcW w:w="11219" w:type="dxa"/>
          </w:tcPr>
          <w:p w14:paraId="7593D968" w14:textId="7F831A14" w:rsidR="00101FCC" w:rsidRPr="000322EC" w:rsidRDefault="00101FCC" w:rsidP="00101FC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La </w:t>
            </w:r>
            <w:r w:rsidRPr="008169F2">
              <w:rPr>
                <w:sz w:val="72"/>
                <w:szCs w:val="72"/>
                <w:highlight w:val="yellow"/>
              </w:rPr>
              <w:t>première étape</w:t>
            </w:r>
            <w:r>
              <w:rPr>
                <w:sz w:val="72"/>
                <w:szCs w:val="72"/>
              </w:rPr>
              <w:t xml:space="preserve"> aurait débuté </w:t>
            </w:r>
            <w:r w:rsidRPr="008169F2">
              <w:rPr>
                <w:sz w:val="72"/>
                <w:szCs w:val="72"/>
                <w:highlight w:val="yellow"/>
              </w:rPr>
              <w:t>vers -2800 et duré jusqu’en -2100</w:t>
            </w:r>
            <w:r>
              <w:rPr>
                <w:sz w:val="72"/>
                <w:szCs w:val="72"/>
              </w:rPr>
              <w:t>. Ici, c’est la partie à l’extérieure qui aurait été construite.</w:t>
            </w:r>
          </w:p>
        </w:tc>
        <w:tc>
          <w:tcPr>
            <w:tcW w:w="11461" w:type="dxa"/>
          </w:tcPr>
          <w:p w14:paraId="110BA229" w14:textId="18AF6ED3" w:rsidR="00101FCC" w:rsidRPr="000322EC" w:rsidRDefault="00101FCC" w:rsidP="00205718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Le </w:t>
            </w:r>
            <w:r w:rsidRPr="008169F2">
              <w:rPr>
                <w:sz w:val="72"/>
                <w:szCs w:val="72"/>
                <w:highlight w:val="yellow"/>
              </w:rPr>
              <w:t xml:space="preserve">fossé </w:t>
            </w:r>
            <w:r>
              <w:rPr>
                <w:sz w:val="72"/>
                <w:szCs w:val="72"/>
              </w:rPr>
              <w:t xml:space="preserve">a été rapidement creusé sans grande précision. Le </w:t>
            </w:r>
            <w:r w:rsidRPr="008169F2">
              <w:rPr>
                <w:sz w:val="72"/>
                <w:szCs w:val="72"/>
                <w:highlight w:val="yellow"/>
              </w:rPr>
              <w:t xml:space="preserve">talus </w:t>
            </w:r>
            <w:r>
              <w:rPr>
                <w:sz w:val="72"/>
                <w:szCs w:val="72"/>
              </w:rPr>
              <w:t xml:space="preserve">a été fait très précisément Ce talus fait 98m de diamètre (un terrain de foot). Il devait faire 6m de large pour 2m de haut. Il s’est maintenant </w:t>
            </w:r>
            <w:r w:rsidR="00205718">
              <w:rPr>
                <w:sz w:val="72"/>
                <w:szCs w:val="72"/>
              </w:rPr>
              <w:t>arrondi</w:t>
            </w:r>
            <w:r>
              <w:rPr>
                <w:sz w:val="72"/>
                <w:szCs w:val="72"/>
              </w:rPr>
              <w:t xml:space="preserve">. </w:t>
            </w:r>
          </w:p>
        </w:tc>
      </w:tr>
      <w:tr w:rsidR="00205718" w:rsidRPr="000322EC" w14:paraId="53CB0086" w14:textId="77777777" w:rsidTr="007A522C">
        <w:trPr>
          <w:trHeight w:val="1768"/>
        </w:trPr>
        <w:tc>
          <w:tcPr>
            <w:tcW w:w="22680" w:type="dxa"/>
            <w:gridSpan w:val="2"/>
          </w:tcPr>
          <w:p w14:paraId="3B94BAB2" w14:textId="104A98F4" w:rsidR="00205718" w:rsidRPr="000322EC" w:rsidRDefault="00205718" w:rsidP="008169F2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Il existe ensuite un cercle de </w:t>
            </w:r>
            <w:r w:rsidRPr="008169F2">
              <w:rPr>
                <w:sz w:val="72"/>
                <w:szCs w:val="72"/>
                <w:highlight w:val="yellow"/>
              </w:rPr>
              <w:t>56 trous d’Aubrey</w:t>
            </w:r>
            <w:r>
              <w:rPr>
                <w:sz w:val="72"/>
                <w:szCs w:val="72"/>
              </w:rPr>
              <w:t xml:space="preserve">. C’est un grand cercle formé de 56 trous </w:t>
            </w:r>
            <w:r w:rsidR="008169F2">
              <w:rPr>
                <w:sz w:val="72"/>
                <w:szCs w:val="72"/>
              </w:rPr>
              <w:t xml:space="preserve">d’environ 1m de diamètre et de profondeur. Ils étaient remplis. </w:t>
            </w:r>
          </w:p>
        </w:tc>
      </w:tr>
      <w:tr w:rsidR="008169F2" w:rsidRPr="000322EC" w14:paraId="58F14CC6" w14:textId="77777777" w:rsidTr="007A522C">
        <w:tc>
          <w:tcPr>
            <w:tcW w:w="11219" w:type="dxa"/>
          </w:tcPr>
          <w:p w14:paraId="71A7B56C" w14:textId="25A92F2F" w:rsidR="008169F2" w:rsidRPr="000322EC" w:rsidRDefault="008169F2" w:rsidP="008169F2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lastRenderedPageBreak/>
              <w:t xml:space="preserve">On a également retrouvé un homme dans le fossé qui montrait des traces de flèches. C’est un archer tué  sur le site. </w:t>
            </w:r>
            <w:bookmarkStart w:id="0" w:name="_GoBack"/>
            <w:bookmarkEnd w:id="0"/>
          </w:p>
        </w:tc>
        <w:tc>
          <w:tcPr>
            <w:tcW w:w="11461" w:type="dxa"/>
          </w:tcPr>
          <w:p w14:paraId="5E7C12FD" w14:textId="674A0F1A" w:rsidR="008169F2" w:rsidRPr="000322EC" w:rsidRDefault="008169F2" w:rsidP="00EB6E0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D’autres tombes sont retrouvées près des trous d’Aubrey. </w:t>
            </w:r>
            <w:r w:rsidR="00EB6E0C">
              <w:rPr>
                <w:sz w:val="72"/>
                <w:szCs w:val="72"/>
              </w:rPr>
              <w:t>On sait que l</w:t>
            </w:r>
            <w:r>
              <w:rPr>
                <w:sz w:val="72"/>
                <w:szCs w:val="72"/>
              </w:rPr>
              <w:t>es gens pratiquaient la crémation de leurs défunts</w:t>
            </w:r>
            <w:r w:rsidR="00EB6E0C">
              <w:rPr>
                <w:sz w:val="72"/>
                <w:szCs w:val="72"/>
              </w:rPr>
              <w:t xml:space="preserve"> car il y a des restes d’incinération</w:t>
            </w:r>
            <w:r>
              <w:rPr>
                <w:sz w:val="72"/>
                <w:szCs w:val="72"/>
              </w:rPr>
              <w:t xml:space="preserve">. </w:t>
            </w:r>
          </w:p>
        </w:tc>
      </w:tr>
      <w:tr w:rsidR="00EB6E0C" w:rsidRPr="000322EC" w14:paraId="6598094E" w14:textId="77777777" w:rsidTr="007A522C">
        <w:tc>
          <w:tcPr>
            <w:tcW w:w="11219" w:type="dxa"/>
          </w:tcPr>
          <w:p w14:paraId="1D2DEA06" w14:textId="168CBEEC" w:rsidR="00EB6E0C" w:rsidRDefault="00EB6E0C" w:rsidP="008169F2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Vient ensuite la </w:t>
            </w:r>
            <w:r w:rsidRPr="00EB6E0C">
              <w:rPr>
                <w:sz w:val="72"/>
                <w:szCs w:val="72"/>
                <w:highlight w:val="yellow"/>
              </w:rPr>
              <w:t>seconde phase</w:t>
            </w:r>
            <w:r>
              <w:rPr>
                <w:sz w:val="72"/>
                <w:szCs w:val="72"/>
              </w:rPr>
              <w:t xml:space="preserve">. Elle a lieu </w:t>
            </w:r>
            <w:r w:rsidRPr="00EB6E0C">
              <w:rPr>
                <w:sz w:val="72"/>
                <w:szCs w:val="72"/>
                <w:highlight w:val="yellow"/>
              </w:rPr>
              <w:t>entre -2100 et -2000</w:t>
            </w:r>
            <w:r>
              <w:rPr>
                <w:sz w:val="72"/>
                <w:szCs w:val="72"/>
              </w:rPr>
              <w:t xml:space="preserve">. </w:t>
            </w:r>
            <w:r w:rsidR="00761DFD">
              <w:rPr>
                <w:sz w:val="72"/>
                <w:szCs w:val="72"/>
              </w:rPr>
              <w:t xml:space="preserve">Ici, c’est l’entrée du nord-est qui a été agrandie mais aussi (et surtout), c’est la mise en place de la partie centrale en pierre. Il devait y avoir deux cercles de 38 menhirs </w:t>
            </w:r>
            <w:r w:rsidR="00AD27F2">
              <w:rPr>
                <w:sz w:val="72"/>
                <w:szCs w:val="72"/>
              </w:rPr>
              <w:t xml:space="preserve">(les pierres bleues) </w:t>
            </w:r>
            <w:r w:rsidR="00761DFD">
              <w:rPr>
                <w:sz w:val="72"/>
                <w:szCs w:val="72"/>
              </w:rPr>
              <w:t xml:space="preserve">supportant 8 menhirs supplémentaires. </w:t>
            </w:r>
          </w:p>
          <w:p w14:paraId="6E4CC129" w14:textId="77777777" w:rsidR="00761DFD" w:rsidRDefault="00761DFD" w:rsidP="008169F2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Tout a disparu maintenant !</w:t>
            </w:r>
          </w:p>
          <w:p w14:paraId="117E22AC" w14:textId="07DF9D53" w:rsidR="005A69B4" w:rsidRDefault="005A69B4" w:rsidP="008169F2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  <w:lang w:eastAsia="fr-FR"/>
              </w:rPr>
              <w:lastRenderedPageBreak/>
              <w:drawing>
                <wp:inline distT="0" distB="0" distL="0" distR="0" wp14:anchorId="28A32C41" wp14:editId="3A10FBD2">
                  <wp:extent cx="6649085" cy="9973310"/>
                  <wp:effectExtent l="0" t="0" r="0" b="8890"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Trilith_Stonehenge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9085" cy="997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61" w:type="dxa"/>
          </w:tcPr>
          <w:p w14:paraId="1C02EB0D" w14:textId="77777777" w:rsidR="00EB6E0C" w:rsidRDefault="00AD27F2" w:rsidP="00EB6E0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lastRenderedPageBreak/>
              <w:t xml:space="preserve">La troisième et dernière phase a eu lieu entre -2000 et -1100. C’est le démontage des cercles de pierres bleues. </w:t>
            </w:r>
          </w:p>
          <w:p w14:paraId="128B0CCF" w14:textId="77777777" w:rsidR="00AD27F2" w:rsidRDefault="00AD27F2" w:rsidP="00EB6E0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Il va y avoir la mise en place des éléments que l’on voit aujourd’hui : les </w:t>
            </w:r>
            <w:proofErr w:type="spellStart"/>
            <w:r>
              <w:rPr>
                <w:sz w:val="72"/>
                <w:szCs w:val="72"/>
              </w:rPr>
              <w:t>trilithes</w:t>
            </w:r>
            <w:proofErr w:type="spellEnd"/>
            <w:r>
              <w:rPr>
                <w:sz w:val="72"/>
                <w:szCs w:val="72"/>
              </w:rPr>
              <w:t xml:space="preserve"> de </w:t>
            </w:r>
            <w:proofErr w:type="spellStart"/>
            <w:r>
              <w:rPr>
                <w:sz w:val="72"/>
                <w:szCs w:val="72"/>
              </w:rPr>
              <w:t>Sarsen</w:t>
            </w:r>
            <w:proofErr w:type="spellEnd"/>
            <w:r>
              <w:rPr>
                <w:sz w:val="72"/>
                <w:szCs w:val="72"/>
              </w:rPr>
              <w:t>. Ces éléments ont été taillés à des dimensions précises</w:t>
            </w:r>
            <w:r w:rsidR="00E41F96">
              <w:rPr>
                <w:sz w:val="72"/>
                <w:szCs w:val="72"/>
              </w:rPr>
              <w:t>. Les pierres viennent de loin et les hommes n’avaient pas de machines pour porter ces poids immenses !</w:t>
            </w:r>
          </w:p>
          <w:p w14:paraId="38996EFF" w14:textId="77777777" w:rsidR="00E41F96" w:rsidRDefault="00E41F96" w:rsidP="00EB6E0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lastRenderedPageBreak/>
              <w:t xml:space="preserve">Il va y avoir un dernier cercle qui sera mis en place. C’est celui que l’on voit maintenant à l’extérieur : le Grand cercle de </w:t>
            </w:r>
            <w:proofErr w:type="spellStart"/>
            <w:r>
              <w:rPr>
                <w:sz w:val="72"/>
                <w:szCs w:val="72"/>
              </w:rPr>
              <w:t>Sarsen</w:t>
            </w:r>
            <w:proofErr w:type="spellEnd"/>
            <w:r>
              <w:rPr>
                <w:sz w:val="72"/>
                <w:szCs w:val="72"/>
              </w:rPr>
              <w:t xml:space="preserve">. </w:t>
            </w:r>
          </w:p>
          <w:p w14:paraId="3A1DB840" w14:textId="77777777" w:rsidR="005A69B4" w:rsidRDefault="005A69B4" w:rsidP="00EB6E0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</w:p>
          <w:p w14:paraId="43EDD2F7" w14:textId="77777777" w:rsidR="005A69B4" w:rsidRDefault="005A69B4" w:rsidP="00EB6E0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Il y a eu une autre phase de modification du site et de réutilisation des pierres bleues. </w:t>
            </w:r>
            <w:r w:rsidR="002B5BBB">
              <w:rPr>
                <w:sz w:val="72"/>
                <w:szCs w:val="72"/>
              </w:rPr>
              <w:t xml:space="preserve">Cette partie a été très abîmée. </w:t>
            </w:r>
          </w:p>
          <w:p w14:paraId="15C3216E" w14:textId="77777777" w:rsidR="002B5BBB" w:rsidRDefault="002B5BBB" w:rsidP="00EB6E0C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</w:p>
          <w:p w14:paraId="2F04C8CC" w14:textId="0BF36084" w:rsidR="002B5BBB" w:rsidRDefault="002B5BBB" w:rsidP="002B5BBB">
            <w:pPr>
              <w:tabs>
                <w:tab w:val="left" w:pos="1216"/>
                <w:tab w:val="center" w:pos="7853"/>
              </w:tabs>
              <w:ind w:firstLine="567"/>
              <w:jc w:val="both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 xml:space="preserve">Le site a été abandonné et partiellement détruit dans les siècles qui ont suivi l’an 0. </w:t>
            </w:r>
          </w:p>
        </w:tc>
      </w:tr>
    </w:tbl>
    <w:p w14:paraId="163B00C3" w14:textId="2420757D" w:rsidR="00101FCC" w:rsidRPr="005D1299" w:rsidRDefault="005D1299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sz w:val="72"/>
          <w:szCs w:val="72"/>
        </w:rPr>
      </w:pPr>
      <w:r w:rsidRPr="005D1299">
        <w:rPr>
          <w:rFonts w:ascii="Cooper Black" w:hAnsi="Cooper Black"/>
          <w:noProof/>
          <w:sz w:val="72"/>
          <w:szCs w:val="72"/>
          <w:lang w:eastAsia="fr-FR"/>
        </w:rPr>
        <w:lastRenderedPageBreak/>
        <w:drawing>
          <wp:inline distT="0" distB="0" distL="0" distR="0" wp14:anchorId="0C47F429" wp14:editId="624AC4B6">
            <wp:extent cx="14004000" cy="7659500"/>
            <wp:effectExtent l="0" t="0" r="0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tonehenge03ng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4000" cy="76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E4219" w14:textId="57B94CBE" w:rsidR="00077156" w:rsidRPr="005D1299" w:rsidRDefault="005D1299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sz w:val="72"/>
          <w:szCs w:val="72"/>
        </w:rPr>
      </w:pPr>
      <w:r>
        <w:rPr>
          <w:rFonts w:ascii="Cooper Black" w:hAnsi="Cooper Black"/>
          <w:sz w:val="72"/>
          <w:szCs w:val="72"/>
        </w:rPr>
        <w:t>Photo en vue aérienne du site de Stonehenge.</w:t>
      </w:r>
    </w:p>
    <w:p w14:paraId="69695C92" w14:textId="77777777" w:rsidR="005D1299" w:rsidRPr="005D1299" w:rsidRDefault="005D1299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sz w:val="72"/>
          <w:szCs w:val="72"/>
        </w:rPr>
        <w:sectPr w:rsidR="005D1299" w:rsidRPr="005D1299" w:rsidSect="007A522C">
          <w:pgSz w:w="23814" w:h="16840" w:orient="landscape" w:code="8"/>
          <w:pgMar w:top="567" w:right="567" w:bottom="567" w:left="567" w:header="709" w:footer="283" w:gutter="0"/>
          <w:cols w:space="708"/>
          <w:docGrid w:linePitch="360"/>
        </w:sectPr>
      </w:pPr>
    </w:p>
    <w:p w14:paraId="57404814" w14:textId="6364E612" w:rsidR="00A00981" w:rsidRDefault="00A00981" w:rsidP="00EF72CB">
      <w:pPr>
        <w:tabs>
          <w:tab w:val="left" w:pos="1216"/>
          <w:tab w:val="center" w:pos="7853"/>
        </w:tabs>
        <w:jc w:val="center"/>
        <w:rPr>
          <w:rFonts w:ascii="Cooper Black" w:hAnsi="Cooper Black"/>
          <w:b/>
          <w:sz w:val="72"/>
          <w:szCs w:val="72"/>
          <w:u w:val="single"/>
        </w:rPr>
      </w:pPr>
      <w:r w:rsidRPr="00A00981">
        <w:rPr>
          <w:rFonts w:ascii="Cooper Black" w:hAnsi="Cooper Black"/>
          <w:noProof/>
          <w:sz w:val="72"/>
          <w:szCs w:val="72"/>
          <w:lang w:eastAsia="fr-FR"/>
        </w:rPr>
        <w:lastRenderedPageBreak/>
        <w:drawing>
          <wp:inline distT="0" distB="0" distL="0" distR="0" wp14:anchorId="2CD0B61B" wp14:editId="3A5C9D7D">
            <wp:extent cx="9972000" cy="971023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Stonehenge_pl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971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BD767" w14:textId="1028773B" w:rsidR="00A00981" w:rsidRDefault="00A00981" w:rsidP="00EF72CB">
      <w:pPr>
        <w:tabs>
          <w:tab w:val="left" w:pos="1216"/>
          <w:tab w:val="center" w:pos="7853"/>
        </w:tabs>
        <w:jc w:val="center"/>
        <w:rPr>
          <w:sz w:val="40"/>
        </w:rPr>
      </w:pPr>
      <w:r w:rsidRPr="00B34767">
        <w:rPr>
          <w:b/>
          <w:bCs/>
          <w:sz w:val="40"/>
        </w:rPr>
        <w:t>Plan du site de Stonehenge.</w:t>
      </w:r>
      <w:r w:rsidRPr="00B34767">
        <w:rPr>
          <w:sz w:val="40"/>
        </w:rPr>
        <w:t xml:space="preserve"> </w:t>
      </w:r>
      <w:r w:rsidRPr="00B34767">
        <w:rPr>
          <w:b/>
          <w:bCs/>
          <w:sz w:val="40"/>
        </w:rPr>
        <w:t>1.</w:t>
      </w:r>
      <w:r w:rsidRPr="00B34767">
        <w:rPr>
          <w:sz w:val="40"/>
        </w:rPr>
        <w:t xml:space="preserve"> la pierre d'autel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2</w:t>
      </w:r>
      <w:r w:rsidRPr="00B34767">
        <w:rPr>
          <w:sz w:val="40"/>
        </w:rPr>
        <w:t xml:space="preserve"> et </w:t>
      </w:r>
      <w:r w:rsidRPr="00B34767">
        <w:rPr>
          <w:b/>
          <w:bCs/>
          <w:sz w:val="40"/>
        </w:rPr>
        <w:t>3.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tumuli</w:t>
      </w:r>
      <w:proofErr w:type="gramEnd"/>
      <w:r w:rsidRPr="00B34767">
        <w:rPr>
          <w:sz w:val="40"/>
        </w:rPr>
        <w:t xml:space="preserve">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4.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la</w:t>
      </w:r>
      <w:proofErr w:type="gramEnd"/>
      <w:r w:rsidRPr="00B34767">
        <w:rPr>
          <w:sz w:val="40"/>
        </w:rPr>
        <w:t xml:space="preserve"> pierre de sacrifice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5.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la</w:t>
      </w:r>
      <w:proofErr w:type="gramEnd"/>
      <w:r w:rsidRPr="00B34767">
        <w:rPr>
          <w:sz w:val="40"/>
        </w:rPr>
        <w:t xml:space="preserve"> « </w:t>
      </w:r>
      <w:proofErr w:type="spellStart"/>
      <w:r w:rsidRPr="00B34767">
        <w:rPr>
          <w:sz w:val="40"/>
        </w:rPr>
        <w:t>Heel</w:t>
      </w:r>
      <w:proofErr w:type="spellEnd"/>
      <w:r w:rsidRPr="00B34767">
        <w:rPr>
          <w:sz w:val="40"/>
        </w:rPr>
        <w:t xml:space="preserve"> Stone » (pierre talon)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6.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deux</w:t>
      </w:r>
      <w:proofErr w:type="gramEnd"/>
      <w:r w:rsidRPr="00B34767">
        <w:rPr>
          <w:sz w:val="40"/>
        </w:rPr>
        <w:t xml:space="preserve"> des quatre « stations »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7, 8, 9.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fossés</w:t>
      </w:r>
      <w:proofErr w:type="gramEnd"/>
      <w:r w:rsidRPr="00B34767">
        <w:rPr>
          <w:sz w:val="40"/>
        </w:rPr>
        <w:t xml:space="preserve">, talus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10.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l</w:t>
      </w:r>
      <w:proofErr w:type="gramEnd"/>
      <w:r w:rsidRPr="00B34767">
        <w:rPr>
          <w:sz w:val="40"/>
        </w:rPr>
        <w:t xml:space="preserve">'« avenue » monumentale, qui mène à la rivière Avon, à trois kilomètres à l'est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11</w:t>
      </w:r>
      <w:r w:rsidRPr="00B34767">
        <w:rPr>
          <w:sz w:val="40"/>
        </w:rPr>
        <w:t xml:space="preserve"> et </w:t>
      </w:r>
      <w:r w:rsidRPr="00B34767">
        <w:rPr>
          <w:b/>
          <w:bCs/>
          <w:sz w:val="40"/>
        </w:rPr>
        <w:t>12.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les</w:t>
      </w:r>
      <w:proofErr w:type="gramEnd"/>
      <w:r w:rsidRPr="00B34767">
        <w:rPr>
          <w:sz w:val="40"/>
        </w:rPr>
        <w:t xml:space="preserve"> deux cercles de 30 trous « Y » et « Z »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13.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les</w:t>
      </w:r>
      <w:proofErr w:type="gramEnd"/>
      <w:r w:rsidRPr="00B34767">
        <w:rPr>
          <w:sz w:val="40"/>
        </w:rPr>
        <w:t xml:space="preserve"> 56 trous d'Aubrey ; </w:t>
      </w:r>
      <w:r w:rsidR="00B34767">
        <w:rPr>
          <w:sz w:val="40"/>
        </w:rPr>
        <w:br/>
      </w:r>
      <w:r w:rsidRPr="00B34767">
        <w:rPr>
          <w:b/>
          <w:bCs/>
          <w:sz w:val="40"/>
        </w:rPr>
        <w:t>14.</w:t>
      </w:r>
      <w:r w:rsidRPr="00B34767">
        <w:rPr>
          <w:sz w:val="40"/>
        </w:rPr>
        <w:t xml:space="preserve"> </w:t>
      </w:r>
      <w:proofErr w:type="gramStart"/>
      <w:r w:rsidRPr="00B34767">
        <w:rPr>
          <w:sz w:val="40"/>
        </w:rPr>
        <w:t>entrée</w:t>
      </w:r>
      <w:proofErr w:type="gramEnd"/>
      <w:r w:rsidRPr="00B34767">
        <w:rPr>
          <w:sz w:val="40"/>
        </w:rPr>
        <w:t xml:space="preserve"> secondaire.</w:t>
      </w:r>
      <w:r w:rsidRPr="00B34767">
        <w:rPr>
          <w:sz w:val="40"/>
        </w:rPr>
        <w:br/>
        <w:t>Le monument (cromlech) est situé à l'intérieur du cercle 12 : les mégalithes de grès « </w:t>
      </w:r>
      <w:proofErr w:type="spellStart"/>
      <w:r w:rsidRPr="00C5323E">
        <w:rPr>
          <w:sz w:val="40"/>
        </w:rPr>
        <w:t>sarsen</w:t>
      </w:r>
      <w:proofErr w:type="spellEnd"/>
      <w:r w:rsidRPr="00B34767">
        <w:rPr>
          <w:sz w:val="40"/>
        </w:rPr>
        <w:t> » sont en gris, et les « pierres bleues » en bleu.</w:t>
      </w:r>
    </w:p>
    <w:p w14:paraId="13C4D655" w14:textId="77777777" w:rsidR="00E41F96" w:rsidRDefault="00E41F96" w:rsidP="00E41F96">
      <w:pPr>
        <w:pStyle w:val="Paragraphedeliste"/>
        <w:tabs>
          <w:tab w:val="left" w:pos="1216"/>
          <w:tab w:val="center" w:pos="7853"/>
        </w:tabs>
        <w:rPr>
          <w:rFonts w:ascii="Cooper Black" w:hAnsi="Cooper Black"/>
          <w:b/>
          <w:sz w:val="16"/>
          <w:szCs w:val="16"/>
          <w:u w:val="single"/>
        </w:rPr>
      </w:pPr>
    </w:p>
    <w:p w14:paraId="61ACAA29" w14:textId="77777777" w:rsidR="005A69B4" w:rsidRDefault="005A69B4" w:rsidP="00E41F96">
      <w:pPr>
        <w:pStyle w:val="Paragraphedeliste"/>
        <w:tabs>
          <w:tab w:val="left" w:pos="1216"/>
          <w:tab w:val="center" w:pos="7853"/>
        </w:tabs>
        <w:rPr>
          <w:rFonts w:ascii="Cooper Black" w:hAnsi="Cooper Black"/>
          <w:b/>
          <w:sz w:val="16"/>
          <w:szCs w:val="16"/>
          <w:u w:val="single"/>
        </w:rPr>
      </w:pPr>
    </w:p>
    <w:p w14:paraId="3AE1A6E7" w14:textId="77777777" w:rsidR="005A69B4" w:rsidRDefault="005A69B4" w:rsidP="00E41F96">
      <w:pPr>
        <w:pStyle w:val="Paragraphedeliste"/>
        <w:tabs>
          <w:tab w:val="left" w:pos="1216"/>
          <w:tab w:val="center" w:pos="7853"/>
        </w:tabs>
        <w:rPr>
          <w:rFonts w:ascii="Cooper Black" w:hAnsi="Cooper Black"/>
          <w:b/>
          <w:sz w:val="16"/>
          <w:szCs w:val="16"/>
          <w:u w:val="single"/>
        </w:rPr>
      </w:pPr>
    </w:p>
    <w:p w14:paraId="7AC51088" w14:textId="3ABE503B" w:rsidR="005A69B4" w:rsidRDefault="005A69B4" w:rsidP="005A69B4">
      <w:pPr>
        <w:pStyle w:val="Paragraphedeliste"/>
        <w:tabs>
          <w:tab w:val="left" w:pos="1216"/>
          <w:tab w:val="center" w:pos="7853"/>
        </w:tabs>
        <w:ind w:left="0"/>
        <w:rPr>
          <w:rStyle w:val="mw-mmv-title"/>
          <w:color w:val="333333"/>
        </w:rPr>
      </w:pPr>
      <w:r>
        <w:rPr>
          <w:noProof/>
          <w:color w:val="333333"/>
          <w:lang w:eastAsia="fr-FR"/>
        </w:rPr>
        <w:drawing>
          <wp:inline distT="0" distB="0" distL="0" distR="0" wp14:anchorId="3218C685" wp14:editId="6B115447">
            <wp:extent cx="9972000" cy="10558025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800px-Stone_Plan.jpg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000" cy="105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2730E" w14:textId="27C72852" w:rsidR="005A69B4" w:rsidRPr="005A69B4" w:rsidRDefault="005A69B4" w:rsidP="005A69B4">
      <w:pPr>
        <w:pStyle w:val="Paragraphedeliste"/>
        <w:tabs>
          <w:tab w:val="left" w:pos="1216"/>
          <w:tab w:val="center" w:pos="7853"/>
        </w:tabs>
        <w:jc w:val="both"/>
        <w:rPr>
          <w:rFonts w:ascii="Cooper Black" w:hAnsi="Cooper Black"/>
          <w:b/>
          <w:sz w:val="56"/>
          <w:szCs w:val="56"/>
          <w:u w:val="single"/>
        </w:rPr>
      </w:pPr>
      <w:r w:rsidRPr="005A69B4">
        <w:rPr>
          <w:rStyle w:val="mw-mmv-title"/>
          <w:color w:val="333333"/>
          <w:sz w:val="56"/>
          <w:szCs w:val="56"/>
        </w:rPr>
        <w:t xml:space="preserve">Plan du cromlech central, avec la numérotation officielle des pierres. • Cercle extérieur de </w:t>
      </w:r>
      <w:proofErr w:type="spellStart"/>
      <w:r w:rsidRPr="005A69B4">
        <w:rPr>
          <w:rStyle w:val="mw-mmv-title"/>
          <w:color w:val="333333"/>
          <w:sz w:val="56"/>
          <w:szCs w:val="56"/>
        </w:rPr>
        <w:t>sarsen</w:t>
      </w:r>
      <w:proofErr w:type="spellEnd"/>
      <w:r w:rsidRPr="005A69B4">
        <w:rPr>
          <w:rStyle w:val="mw-mmv-title"/>
          <w:color w:val="333333"/>
          <w:sz w:val="56"/>
          <w:szCs w:val="56"/>
        </w:rPr>
        <w:t xml:space="preserve"> : pierres 1 à 30 et linteaux 101 à 130. • Cercle extérieur des pierres bleues : 31 à 49. • </w:t>
      </w:r>
      <w:proofErr w:type="spellStart"/>
      <w:r w:rsidRPr="005A69B4">
        <w:rPr>
          <w:rStyle w:val="mw-mmv-title"/>
          <w:color w:val="333333"/>
          <w:sz w:val="56"/>
          <w:szCs w:val="56"/>
        </w:rPr>
        <w:t>Trilithons</w:t>
      </w:r>
      <w:proofErr w:type="spellEnd"/>
      <w:r w:rsidRPr="005A69B4">
        <w:rPr>
          <w:rStyle w:val="mw-mmv-title"/>
          <w:color w:val="333333"/>
          <w:sz w:val="56"/>
          <w:szCs w:val="56"/>
        </w:rPr>
        <w:t xml:space="preserve"> de </w:t>
      </w:r>
      <w:proofErr w:type="spellStart"/>
      <w:r w:rsidRPr="005A69B4">
        <w:rPr>
          <w:rStyle w:val="mw-mmv-title"/>
          <w:color w:val="333333"/>
          <w:sz w:val="56"/>
          <w:szCs w:val="56"/>
        </w:rPr>
        <w:t>sarsen</w:t>
      </w:r>
      <w:proofErr w:type="spellEnd"/>
      <w:r w:rsidRPr="005A69B4">
        <w:rPr>
          <w:rStyle w:val="mw-mmv-title"/>
          <w:color w:val="333333"/>
          <w:sz w:val="56"/>
          <w:szCs w:val="56"/>
        </w:rPr>
        <w:t> : pierres 51 à 60 et linteaux 152 à 160. • Fer à cheval des pierres bleues : 61 à 72. • « Pierre d'autel » : 80.</w:t>
      </w:r>
    </w:p>
    <w:p w14:paraId="621EBBFD" w14:textId="77777777" w:rsidR="005A69B4" w:rsidRDefault="005A69B4" w:rsidP="00E41F96">
      <w:pPr>
        <w:pStyle w:val="Paragraphedeliste"/>
        <w:tabs>
          <w:tab w:val="left" w:pos="1216"/>
          <w:tab w:val="center" w:pos="7853"/>
        </w:tabs>
        <w:rPr>
          <w:rFonts w:ascii="Cooper Black" w:hAnsi="Cooper Black"/>
          <w:b/>
          <w:sz w:val="16"/>
          <w:szCs w:val="16"/>
          <w:u w:val="single"/>
        </w:rPr>
      </w:pPr>
    </w:p>
    <w:p w14:paraId="34E3E8F9" w14:textId="77777777" w:rsidR="005A69B4" w:rsidRDefault="005A69B4" w:rsidP="00E41F96">
      <w:pPr>
        <w:pStyle w:val="Paragraphedeliste"/>
        <w:tabs>
          <w:tab w:val="left" w:pos="1216"/>
          <w:tab w:val="center" w:pos="7853"/>
        </w:tabs>
        <w:rPr>
          <w:rFonts w:ascii="Cooper Black" w:hAnsi="Cooper Black"/>
          <w:b/>
          <w:sz w:val="16"/>
          <w:szCs w:val="16"/>
          <w:u w:val="single"/>
        </w:rPr>
      </w:pPr>
    </w:p>
    <w:p w14:paraId="06C97C08" w14:textId="77777777" w:rsidR="005A69B4" w:rsidRPr="005A69B4" w:rsidRDefault="005A69B4" w:rsidP="00E41F96">
      <w:pPr>
        <w:pStyle w:val="Paragraphedeliste"/>
        <w:tabs>
          <w:tab w:val="left" w:pos="1216"/>
          <w:tab w:val="center" w:pos="7853"/>
        </w:tabs>
        <w:rPr>
          <w:rFonts w:ascii="Cooper Black" w:hAnsi="Cooper Black"/>
          <w:b/>
          <w:sz w:val="16"/>
          <w:szCs w:val="16"/>
          <w:u w:val="single"/>
        </w:rPr>
      </w:pPr>
    </w:p>
    <w:p w14:paraId="641EFB05" w14:textId="1324A61C" w:rsidR="005A69B4" w:rsidRDefault="005A69B4" w:rsidP="00A00981">
      <w:pPr>
        <w:tabs>
          <w:tab w:val="left" w:pos="1216"/>
        </w:tabs>
        <w:rPr>
          <w:sz w:val="2"/>
          <w:szCs w:val="2"/>
        </w:rPr>
      </w:pPr>
    </w:p>
    <w:p w14:paraId="6A59D3F1" w14:textId="77777777" w:rsidR="005A69B4" w:rsidRDefault="005A69B4" w:rsidP="00A00981">
      <w:pPr>
        <w:tabs>
          <w:tab w:val="left" w:pos="1216"/>
        </w:tabs>
        <w:rPr>
          <w:sz w:val="2"/>
          <w:szCs w:val="2"/>
        </w:rPr>
      </w:pPr>
    </w:p>
    <w:p w14:paraId="062A8F36" w14:textId="77777777" w:rsidR="005A69B4" w:rsidRDefault="005A69B4" w:rsidP="00A00981">
      <w:pPr>
        <w:tabs>
          <w:tab w:val="left" w:pos="1216"/>
        </w:tabs>
        <w:rPr>
          <w:sz w:val="2"/>
          <w:szCs w:val="2"/>
        </w:rPr>
      </w:pPr>
    </w:p>
    <w:p w14:paraId="58296419" w14:textId="7C3DA160" w:rsidR="00FD54A6" w:rsidRPr="00F51593" w:rsidRDefault="00FD54A6" w:rsidP="00A00981">
      <w:pPr>
        <w:tabs>
          <w:tab w:val="left" w:pos="1216"/>
        </w:tabs>
        <w:jc w:val="center"/>
        <w:rPr>
          <w:sz w:val="2"/>
          <w:szCs w:val="2"/>
        </w:rPr>
      </w:pPr>
    </w:p>
    <w:p w14:paraId="00DA44B8" w14:textId="77777777" w:rsidR="00CA0DD2" w:rsidRPr="00CA0DD2" w:rsidRDefault="00CA0DD2">
      <w:pPr>
        <w:rPr>
          <w:rFonts w:ascii="Cooper Black" w:hAnsi="Cooper Black"/>
          <w:b/>
          <w:sz w:val="2"/>
          <w:szCs w:val="2"/>
          <w:u w:val="single"/>
        </w:rPr>
      </w:pPr>
    </w:p>
    <w:p w14:paraId="4174F5A4" w14:textId="77777777" w:rsidR="00642253" w:rsidRDefault="00642253" w:rsidP="002B629B">
      <w:pPr>
        <w:jc w:val="center"/>
        <w:rPr>
          <w:rFonts w:ascii="Cooper Black" w:hAnsi="Cooper Black"/>
          <w:b/>
          <w:sz w:val="72"/>
          <w:szCs w:val="72"/>
          <w:u w:val="single"/>
        </w:rPr>
        <w:sectPr w:rsidR="00642253" w:rsidSect="00B34767">
          <w:pgSz w:w="16840" w:h="23814" w:code="8"/>
          <w:pgMar w:top="567" w:right="567" w:bottom="567" w:left="567" w:header="709" w:footer="709" w:gutter="0"/>
          <w:cols w:space="708"/>
          <w:docGrid w:linePitch="360"/>
        </w:sectPr>
      </w:pPr>
    </w:p>
    <w:p w14:paraId="1511249C" w14:textId="5AE294D7" w:rsidR="009B64DD" w:rsidRDefault="009C5E11" w:rsidP="002B629B">
      <w:pPr>
        <w:jc w:val="center"/>
        <w:rPr>
          <w:sz w:val="36"/>
        </w:rPr>
      </w:pPr>
      <w:r w:rsidRPr="00476252">
        <w:rPr>
          <w:rFonts w:ascii="Cooper Black" w:hAnsi="Cooper Black"/>
          <w:b/>
          <w:sz w:val="72"/>
          <w:szCs w:val="72"/>
          <w:u w:val="single"/>
        </w:rPr>
        <w:lastRenderedPageBreak/>
        <w:t>Géographie du monument</w:t>
      </w:r>
      <w:r>
        <w:rPr>
          <w:sz w:val="36"/>
        </w:rPr>
        <w:t>.</w:t>
      </w:r>
    </w:p>
    <w:p w14:paraId="112D2965" w14:textId="258E7757" w:rsidR="00C55BC1" w:rsidRDefault="00CA0DD2" w:rsidP="002B629B">
      <w:pPr>
        <w:jc w:val="center"/>
        <w:rPr>
          <w:b/>
          <w:sz w:val="36"/>
          <w:u w:val="single"/>
        </w:rPr>
      </w:pPr>
      <w:r>
        <w:rPr>
          <w:noProof/>
          <w:sz w:val="36"/>
          <w:lang w:eastAsia="fr-FR"/>
        </w:rPr>
        <w:drawing>
          <wp:inline distT="0" distB="0" distL="0" distR="0" wp14:anchorId="16D1331C" wp14:editId="5E33FACE">
            <wp:extent cx="8036434" cy="6553200"/>
            <wp:effectExtent l="0" t="0" r="317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chu_Picchu_avec_légend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434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2253">
        <w:rPr>
          <w:i/>
          <w:sz w:val="48"/>
        </w:rPr>
        <w:br/>
      </w:r>
      <w:r w:rsidR="009649DF">
        <w:rPr>
          <w:i/>
          <w:sz w:val="48"/>
          <w:u w:val="single"/>
        </w:rPr>
        <w:t>Carte présentant la position de Stonehenge</w:t>
      </w:r>
      <w:r w:rsidR="00642253">
        <w:rPr>
          <w:i/>
          <w:sz w:val="48"/>
          <w:u w:val="single"/>
        </w:rPr>
        <w:t xml:space="preserve">. </w:t>
      </w:r>
      <w:r w:rsidR="00642253">
        <w:rPr>
          <w:i/>
          <w:sz w:val="48"/>
          <w:u w:val="single"/>
        </w:rPr>
        <w:br/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7848"/>
      </w:tblGrid>
      <w:tr w:rsidR="00F42BC6" w14:paraId="77C6FEEF" w14:textId="77777777" w:rsidTr="009649DF">
        <w:trPr>
          <w:trHeight w:val="7539"/>
        </w:trPr>
        <w:tc>
          <w:tcPr>
            <w:tcW w:w="7848" w:type="dxa"/>
          </w:tcPr>
          <w:p w14:paraId="4ACEECE1" w14:textId="254605B2" w:rsidR="00F42BC6" w:rsidRPr="00C55BC1" w:rsidRDefault="00AB0682" w:rsidP="002B629B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fr-FR"/>
              </w:rPr>
              <w:drawing>
                <wp:inline distT="0" distB="0" distL="0" distR="0" wp14:anchorId="0A55496C" wp14:editId="19453331">
                  <wp:extent cx="4680000" cy="5707107"/>
                  <wp:effectExtent l="0" t="0" r="6350" b="825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arteInde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0" cy="5707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E0553" w14:textId="5A5C8D42" w:rsidR="00C55BC1" w:rsidRPr="00C55BC1" w:rsidRDefault="00BE7C68" w:rsidP="009649DF">
            <w:pPr>
              <w:jc w:val="center"/>
              <w:rPr>
                <w:i/>
                <w:sz w:val="36"/>
                <w:u w:val="single"/>
              </w:rPr>
            </w:pPr>
            <w:r>
              <w:rPr>
                <w:i/>
                <w:sz w:val="36"/>
                <w:u w:val="single"/>
              </w:rPr>
              <w:t xml:space="preserve">Carte </w:t>
            </w:r>
            <w:r w:rsidR="009649DF">
              <w:rPr>
                <w:i/>
                <w:sz w:val="36"/>
                <w:u w:val="single"/>
              </w:rPr>
              <w:t>du Wiltshire et Stonehenge</w:t>
            </w:r>
            <w:r>
              <w:rPr>
                <w:i/>
                <w:sz w:val="36"/>
                <w:u w:val="single"/>
              </w:rPr>
              <w:t>.</w:t>
            </w:r>
          </w:p>
        </w:tc>
        <w:tc>
          <w:tcPr>
            <w:tcW w:w="7848" w:type="dxa"/>
          </w:tcPr>
          <w:p w14:paraId="10E823EF" w14:textId="55FD10D5" w:rsidR="00F42BC6" w:rsidRDefault="00AB0682" w:rsidP="002B629B">
            <w:pPr>
              <w:jc w:val="center"/>
              <w:rPr>
                <w:sz w:val="36"/>
              </w:rPr>
            </w:pPr>
            <w:r>
              <w:rPr>
                <w:noProof/>
                <w:sz w:val="36"/>
                <w:lang w:eastAsia="fr-FR"/>
              </w:rPr>
              <w:drawing>
                <wp:inline distT="0" distB="0" distL="0" distR="0" wp14:anchorId="687B8C26" wp14:editId="0936774C">
                  <wp:extent cx="4788000" cy="4025857"/>
                  <wp:effectExtent l="0" t="0" r="0" b="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CarteIndeMonde.jpg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000" cy="4025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FF149E" w14:textId="1F0AFF41" w:rsidR="00C55BC1" w:rsidRPr="00C55BC1" w:rsidRDefault="00C55BC1" w:rsidP="009649DF">
            <w:pPr>
              <w:jc w:val="center"/>
              <w:rPr>
                <w:i/>
                <w:sz w:val="36"/>
                <w:u w:val="single"/>
              </w:rPr>
            </w:pPr>
            <w:r w:rsidRPr="00C55BC1">
              <w:rPr>
                <w:i/>
                <w:sz w:val="36"/>
                <w:u w:val="single"/>
              </w:rPr>
              <w:t xml:space="preserve">Carte </w:t>
            </w:r>
            <w:r w:rsidR="009649DF">
              <w:rPr>
                <w:i/>
                <w:sz w:val="36"/>
                <w:u w:val="single"/>
              </w:rPr>
              <w:t xml:space="preserve">du </w:t>
            </w:r>
            <w:proofErr w:type="gramStart"/>
            <w:r w:rsidR="009649DF">
              <w:rPr>
                <w:i/>
                <w:sz w:val="36"/>
                <w:u w:val="single"/>
              </w:rPr>
              <w:t>Royaume(</w:t>
            </w:r>
            <w:proofErr w:type="gramEnd"/>
            <w:r w:rsidR="009649DF">
              <w:rPr>
                <w:i/>
                <w:sz w:val="36"/>
                <w:u w:val="single"/>
              </w:rPr>
              <w:t>Uni en Europe.</w:t>
            </w:r>
          </w:p>
        </w:tc>
      </w:tr>
    </w:tbl>
    <w:p w14:paraId="5433D356" w14:textId="697F9344" w:rsidR="00B00119" w:rsidRPr="00945D74" w:rsidRDefault="00B00119" w:rsidP="00732EB3">
      <w:pPr>
        <w:rPr>
          <w:b/>
          <w:sz w:val="4"/>
          <w:szCs w:val="4"/>
          <w:u w:val="single"/>
        </w:rPr>
      </w:pPr>
    </w:p>
    <w:sectPr w:rsidR="00B00119" w:rsidRPr="00945D74" w:rsidSect="00642253">
      <w:pgSz w:w="16840" w:h="23814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93F99" w14:textId="77777777" w:rsidR="007A522C" w:rsidRDefault="007A522C" w:rsidP="007A522C">
      <w:pPr>
        <w:spacing w:after="0" w:line="240" w:lineRule="auto"/>
      </w:pPr>
      <w:r>
        <w:separator/>
      </w:r>
    </w:p>
  </w:endnote>
  <w:endnote w:type="continuationSeparator" w:id="0">
    <w:p w14:paraId="01DFD8EE" w14:textId="77777777" w:rsidR="007A522C" w:rsidRDefault="007A522C" w:rsidP="007A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E2D00" w14:textId="117F8425" w:rsidR="007A522C" w:rsidRDefault="007A522C" w:rsidP="007A522C">
    <w:pPr>
      <w:pStyle w:val="Pieddepage"/>
      <w:jc w:val="center"/>
    </w:pPr>
    <w:r>
      <w:t>http://www.bancdecole.fr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0C58A" w14:textId="77777777" w:rsidR="007A522C" w:rsidRDefault="007A522C" w:rsidP="007A522C">
      <w:pPr>
        <w:spacing w:after="0" w:line="240" w:lineRule="auto"/>
      </w:pPr>
      <w:r>
        <w:separator/>
      </w:r>
    </w:p>
  </w:footnote>
  <w:footnote w:type="continuationSeparator" w:id="0">
    <w:p w14:paraId="4671CEFD" w14:textId="77777777" w:rsidR="007A522C" w:rsidRDefault="007A522C" w:rsidP="007A5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8" o:spid="_x0000_i1026" type="#_x0000_t75" style="width:95.45pt;height:102.15pt;visibility:visible;mso-wrap-style:square" o:bullet="t">
        <v:imagedata r:id="rId1" o:title=""/>
      </v:shape>
    </w:pict>
  </w:numPicBullet>
  <w:abstractNum w:abstractNumId="0">
    <w:nsid w:val="57C61A9B"/>
    <w:multiLevelType w:val="hybridMultilevel"/>
    <w:tmpl w:val="AA3E9FE0"/>
    <w:lvl w:ilvl="0" w:tplc="C0D64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26E2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A4B4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E45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66EA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D454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B02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230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B8D3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9B"/>
    <w:rsid w:val="0002760F"/>
    <w:rsid w:val="00031B03"/>
    <w:rsid w:val="000322EC"/>
    <w:rsid w:val="00037883"/>
    <w:rsid w:val="00047CD0"/>
    <w:rsid w:val="00077156"/>
    <w:rsid w:val="000775B9"/>
    <w:rsid w:val="00083E01"/>
    <w:rsid w:val="000B62C6"/>
    <w:rsid w:val="000D683A"/>
    <w:rsid w:val="00101FCC"/>
    <w:rsid w:val="00106C95"/>
    <w:rsid w:val="00164F5F"/>
    <w:rsid w:val="00174210"/>
    <w:rsid w:val="001A224D"/>
    <w:rsid w:val="001B2BBE"/>
    <w:rsid w:val="001B4DBA"/>
    <w:rsid w:val="001D6F65"/>
    <w:rsid w:val="001F2963"/>
    <w:rsid w:val="00205718"/>
    <w:rsid w:val="00206494"/>
    <w:rsid w:val="002463F5"/>
    <w:rsid w:val="00277686"/>
    <w:rsid w:val="002B5BBB"/>
    <w:rsid w:val="002B629B"/>
    <w:rsid w:val="002C0DA2"/>
    <w:rsid w:val="00390174"/>
    <w:rsid w:val="003C5485"/>
    <w:rsid w:val="0042621D"/>
    <w:rsid w:val="00443BE7"/>
    <w:rsid w:val="00450FB2"/>
    <w:rsid w:val="00456775"/>
    <w:rsid w:val="00476252"/>
    <w:rsid w:val="00493029"/>
    <w:rsid w:val="00533D2C"/>
    <w:rsid w:val="005362DB"/>
    <w:rsid w:val="00555D9C"/>
    <w:rsid w:val="005678A8"/>
    <w:rsid w:val="005911C5"/>
    <w:rsid w:val="005A69B4"/>
    <w:rsid w:val="005A6D49"/>
    <w:rsid w:val="005B3F2C"/>
    <w:rsid w:val="005C27E4"/>
    <w:rsid w:val="005D1299"/>
    <w:rsid w:val="00602575"/>
    <w:rsid w:val="00642253"/>
    <w:rsid w:val="00660BA7"/>
    <w:rsid w:val="00677E9E"/>
    <w:rsid w:val="00713BDA"/>
    <w:rsid w:val="00715F1F"/>
    <w:rsid w:val="00732EB3"/>
    <w:rsid w:val="00761DFD"/>
    <w:rsid w:val="007724DE"/>
    <w:rsid w:val="0078339D"/>
    <w:rsid w:val="007936A7"/>
    <w:rsid w:val="007A522C"/>
    <w:rsid w:val="007B3B26"/>
    <w:rsid w:val="007E17F9"/>
    <w:rsid w:val="007F3FD2"/>
    <w:rsid w:val="00800A31"/>
    <w:rsid w:val="008169F2"/>
    <w:rsid w:val="00846397"/>
    <w:rsid w:val="008475F1"/>
    <w:rsid w:val="008675DA"/>
    <w:rsid w:val="00875516"/>
    <w:rsid w:val="00884451"/>
    <w:rsid w:val="008C483C"/>
    <w:rsid w:val="008F347E"/>
    <w:rsid w:val="008F6CC3"/>
    <w:rsid w:val="00926A38"/>
    <w:rsid w:val="00936ECB"/>
    <w:rsid w:val="00945D74"/>
    <w:rsid w:val="00955371"/>
    <w:rsid w:val="009649DF"/>
    <w:rsid w:val="009935C9"/>
    <w:rsid w:val="00993F92"/>
    <w:rsid w:val="009B64DD"/>
    <w:rsid w:val="009C5E11"/>
    <w:rsid w:val="009D1699"/>
    <w:rsid w:val="009D1B85"/>
    <w:rsid w:val="009F4FAF"/>
    <w:rsid w:val="00A00981"/>
    <w:rsid w:val="00A01EA7"/>
    <w:rsid w:val="00A12C8B"/>
    <w:rsid w:val="00A40D4D"/>
    <w:rsid w:val="00A73C8C"/>
    <w:rsid w:val="00AB0682"/>
    <w:rsid w:val="00AD27F2"/>
    <w:rsid w:val="00AE3689"/>
    <w:rsid w:val="00AE4359"/>
    <w:rsid w:val="00B00119"/>
    <w:rsid w:val="00B310A2"/>
    <w:rsid w:val="00B34767"/>
    <w:rsid w:val="00B81CB6"/>
    <w:rsid w:val="00B8707C"/>
    <w:rsid w:val="00BB1AE6"/>
    <w:rsid w:val="00BE7C68"/>
    <w:rsid w:val="00C0777B"/>
    <w:rsid w:val="00C27212"/>
    <w:rsid w:val="00C5323E"/>
    <w:rsid w:val="00C53B83"/>
    <w:rsid w:val="00C55BC1"/>
    <w:rsid w:val="00C76FDD"/>
    <w:rsid w:val="00C91F8A"/>
    <w:rsid w:val="00CA0DD2"/>
    <w:rsid w:val="00CB6814"/>
    <w:rsid w:val="00CC1B9B"/>
    <w:rsid w:val="00CD431F"/>
    <w:rsid w:val="00CD67E6"/>
    <w:rsid w:val="00CE59FB"/>
    <w:rsid w:val="00CF0F1B"/>
    <w:rsid w:val="00D31CA7"/>
    <w:rsid w:val="00DF5145"/>
    <w:rsid w:val="00E41F96"/>
    <w:rsid w:val="00E731F4"/>
    <w:rsid w:val="00E858A9"/>
    <w:rsid w:val="00E972EB"/>
    <w:rsid w:val="00EA4B0D"/>
    <w:rsid w:val="00EB6E0C"/>
    <w:rsid w:val="00ED4621"/>
    <w:rsid w:val="00ED7DAA"/>
    <w:rsid w:val="00EE4DDD"/>
    <w:rsid w:val="00EF104F"/>
    <w:rsid w:val="00EF72CB"/>
    <w:rsid w:val="00F42BC6"/>
    <w:rsid w:val="00F51593"/>
    <w:rsid w:val="00F63F60"/>
    <w:rsid w:val="00FC7D2E"/>
    <w:rsid w:val="00FD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A0A0E7"/>
  <w15:chartTrackingRefBased/>
  <w15:docId w15:val="{1730D2D3-FFCC-4A62-92F6-A039FA00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D6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A40D4D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064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0649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649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064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0649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6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6494"/>
    <w:rPr>
      <w:rFonts w:ascii="Segoe UI" w:hAnsi="Segoe UI" w:cs="Segoe UI"/>
      <w:sz w:val="18"/>
      <w:szCs w:val="18"/>
    </w:rPr>
  </w:style>
  <w:style w:type="paragraph" w:customStyle="1" w:styleId="mw-mmv-image-desc">
    <w:name w:val="mw-mmv-image-desc"/>
    <w:basedOn w:val="Normal"/>
    <w:rsid w:val="00CC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3"/>
      <w:szCs w:val="23"/>
      <w:lang w:eastAsia="fr-FR"/>
    </w:rPr>
  </w:style>
  <w:style w:type="character" w:customStyle="1" w:styleId="mw-mmv-title">
    <w:name w:val="mw-mmv-title"/>
    <w:basedOn w:val="Policepardfaut"/>
    <w:rsid w:val="00A01EA7"/>
  </w:style>
  <w:style w:type="character" w:customStyle="1" w:styleId="citecrochet1">
    <w:name w:val="cite_crochet1"/>
    <w:basedOn w:val="Policepardfaut"/>
    <w:rsid w:val="00A01EA7"/>
    <w:rPr>
      <w:vanish/>
      <w:webHidden w:val="0"/>
      <w:specVanish w:val="0"/>
    </w:rPr>
  </w:style>
  <w:style w:type="paragraph" w:styleId="Paragraphedeliste">
    <w:name w:val="List Paragraph"/>
    <w:basedOn w:val="Normal"/>
    <w:uiPriority w:val="34"/>
    <w:qFormat/>
    <w:rsid w:val="00E41F9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A5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522C"/>
  </w:style>
  <w:style w:type="paragraph" w:styleId="Pieddepage">
    <w:name w:val="footer"/>
    <w:basedOn w:val="Normal"/>
    <w:link w:val="PieddepageCar"/>
    <w:uiPriority w:val="99"/>
    <w:unhideWhenUsed/>
    <w:rsid w:val="007A5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3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86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5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9972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891EE-4298-4107-893E-1C5534B26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588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site de Stonehenge : un mystère pas encore résolu !</vt:lpstr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site de Stonehenge : un mystère pas encore résolu !</dc:title>
  <dc:subject/>
  <dc:creator>Guillaume</dc:creator>
  <cp:keywords>Monument;Angleterre;Stonehenge</cp:keywords>
  <dc:description/>
  <cp:lastModifiedBy>Guillaume Devaux</cp:lastModifiedBy>
  <cp:revision>2</cp:revision>
  <dcterms:created xsi:type="dcterms:W3CDTF">2015-02-16T17:08:00Z</dcterms:created>
  <dcterms:modified xsi:type="dcterms:W3CDTF">2015-02-16T17:08:00Z</dcterms:modified>
</cp:coreProperties>
</file>